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Muddy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Sneakers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neighborhood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1. ACCESS (mission)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Nov 17,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